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C08A3E"/>
          <w:sz w:val="17"/>
          <w:szCs w:val="17"/>
        </w:rPr>
        <w:t xml:space="preserve">GOUVERNANCE · MODÈLE À ADAPTER</w:t>
      </w:r>
    </w:p>
    <w:p>
      <w:pPr>
        <w:spacing w:after="20" w:before="0" w:line="276"/>
      </w:pPr>
      <w:r>
        <w:rPr>
          <w:rFonts w:ascii="Georgia" w:cs="Georgia" w:eastAsia="Georgia" w:hAnsi="Georgia"/>
          <w:b/>
          <w:bCs/>
          <w:color w:val="1B3B36"/>
          <w:sz w:val="40"/>
          <w:szCs w:val="40"/>
        </w:rPr>
        <w:t xml:space="preserve">Calendrier des travaux du conseil</w:t>
      </w:r>
      <w:r>
        <w:rPr>
          <w:rFonts w:ascii="Georgia" w:cs="Georgia" w:eastAsia="Georgia" w:hAnsi="Georgia"/>
          <w:b/>
          <w:bCs/>
          <w:color w:val="C08A3E"/>
          <w:sz w:val="40"/>
          <w:szCs w:val="40"/>
        </w:rPr>
        <w:t xml:space="preserve">.</w:t>
      </w:r>
    </w:p>
    <w:p>
      <w:pPr>
        <w:spacing w:after="240" w:before="0" w:line="276"/>
      </w:pPr>
      <w:r>
        <w:rPr>
          <w:rFonts w:ascii="Georgia" w:cs="Georgia" w:eastAsia="Georgia" w:hAnsi="Georgia"/>
          <w:i/>
          <w:iCs/>
          <w:color w:val="5A6B66"/>
          <w:sz w:val="26"/>
          <w:szCs w:val="26"/>
        </w:rPr>
        <w:t xml:space="preserve">Répartir les grands dossiers de gouvernance sur l'année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c>
          <w:tcPr>
            <w:tcW w:type="dxa" w:w="3400"/>
            <w:tcBorders>
              <w:top w:val="single" w:color="D9D3C4" w:sz="4"/>
              <w:left w:val="single" w:color="D9D3C4" w:sz="4"/>
              <w:bottom w:val="single" w:color="D9D3C4" w:sz="4"/>
              <w:right w:val="single" w:color="D9D3C4" w:sz="4"/>
            </w:tcBorders>
            <w:shd w:fill="FFFFFF"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1B3B36"/>
                <w:sz w:val="20"/>
                <w:szCs w:val="20"/>
              </w:rPr>
              <w:t xml:space="preserve">Organisme</w:t>
            </w:r>
          </w:p>
        </w:tc>
        <w:tc>
          <w:tcPr>
            <w:tcW w:type="dxa" w:w="596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76"/>
            </w:pPr>
            <w:r>
              <w:rPr>
                <w:rFonts w:ascii="Calibri" w:cs="Calibri" w:eastAsia="Calibri" w:hAnsi="Calibri"/>
                <w:color w:val="5A6B66"/>
                <w:sz w:val="20"/>
                <w:szCs w:val="20"/>
              </w:rPr>
              <w:t xml:space="preserve"/>
            </w:r>
          </w:p>
        </w:tc>
      </w:tr>
      <w:tr>
        <w:tc>
          <w:tcPr>
            <w:tcW w:type="dxa" w:w="3400"/>
            <w:tcBorders>
              <w:top w:val="single" w:color="D9D3C4" w:sz="4"/>
              <w:left w:val="single" w:color="D9D3C4" w:sz="4"/>
              <w:bottom w:val="single" w:color="D9D3C4" w:sz="4"/>
              <w:right w:val="single" w:color="D9D3C4" w:sz="4"/>
            </w:tcBorders>
            <w:shd w:fill="FFFFFF"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1B3B36"/>
                <w:sz w:val="20"/>
                <w:szCs w:val="20"/>
              </w:rPr>
              <w:t xml:space="preserve">Fin d'exercice financier</w:t>
            </w:r>
          </w:p>
        </w:tc>
        <w:tc>
          <w:tcPr>
            <w:tcW w:type="dxa" w:w="596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76"/>
            </w:pPr>
            <w:r>
              <w:rPr>
                <w:rFonts w:ascii="Calibri" w:cs="Calibri" w:eastAsia="Calibri" w:hAnsi="Calibri"/>
                <w:color w:val="5A6B66"/>
                <w:sz w:val="20"/>
                <w:szCs w:val="20"/>
              </w:rPr>
              <w:t xml:space="preserve"/>
            </w:r>
          </w:p>
        </w:tc>
      </w:tr>
      <w:tr>
        <w:tc>
          <w:tcPr>
            <w:tcW w:type="dxa" w:w="3400"/>
            <w:tcBorders>
              <w:top w:val="single" w:color="D9D3C4" w:sz="4"/>
              <w:left w:val="single" w:color="D9D3C4" w:sz="4"/>
              <w:bottom w:val="single" w:color="D9D3C4" w:sz="4"/>
              <w:right w:val="single" w:color="D9D3C4" w:sz="4"/>
            </w:tcBorders>
            <w:shd w:fill="FFFFFF"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1B3B36"/>
                <w:sz w:val="20"/>
                <w:szCs w:val="20"/>
              </w:rPr>
              <w:t xml:space="preserve">Nombre de séances du CA par année</w:t>
            </w:r>
          </w:p>
        </w:tc>
        <w:tc>
          <w:tcPr>
            <w:tcW w:type="dxa" w:w="596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76"/>
            </w:pPr>
            <w:r>
              <w:rPr>
                <w:rFonts w:ascii="Calibri" w:cs="Calibri" w:eastAsia="Calibri" w:hAnsi="Calibri"/>
                <w:color w:val="5A6B66"/>
                <w:sz w:val="20"/>
                <w:szCs w:val="20"/>
              </w:rPr>
              <w:t xml:space="preserve"/>
            </w:r>
          </w:p>
        </w:tc>
      </w:tr>
      <w:tr>
        <w:tc>
          <w:tcPr>
            <w:tcW w:type="dxa" w:w="3400"/>
            <w:tcBorders>
              <w:top w:val="single" w:color="D9D3C4" w:sz="4"/>
              <w:left w:val="single" w:color="D9D3C4" w:sz="4"/>
              <w:bottom w:val="single" w:color="D9D3C4" w:sz="4"/>
              <w:right w:val="single" w:color="D9D3C4" w:sz="4"/>
            </w:tcBorders>
            <w:shd w:fill="FFFFFF"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1B3B36"/>
                <w:sz w:val="20"/>
                <w:szCs w:val="20"/>
              </w:rPr>
              <w:t xml:space="preserve">Comités actifs</w:t>
            </w:r>
          </w:p>
        </w:tc>
        <w:tc>
          <w:tcPr>
            <w:tcW w:type="dxa" w:w="596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76"/>
            </w:pPr>
            <w:r>
              <w:rPr>
                <w:rFonts w:ascii="Calibri" w:cs="Calibri" w:eastAsia="Calibri" w:hAnsi="Calibri"/>
                <w:color w:val="5A6B66"/>
                <w:sz w:val="20"/>
                <w:szCs w:val="20"/>
              </w:rPr>
              <w:t xml:space="preserve"/>
            </w:r>
          </w:p>
        </w:tc>
      </w:tr>
      <w:tr>
        <w:tc>
          <w:tcPr>
            <w:tcW w:type="dxa" w:w="3400"/>
            <w:tcBorders>
              <w:top w:val="single" w:color="D9D3C4" w:sz="4"/>
              <w:left w:val="single" w:color="D9D3C4" w:sz="4"/>
              <w:bottom w:val="single" w:color="D9D3C4" w:sz="4"/>
              <w:right w:val="single" w:color="D9D3C4" w:sz="4"/>
            </w:tcBorders>
            <w:shd w:fill="FFFFFF"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1B3B36"/>
                <w:sz w:val="20"/>
                <w:szCs w:val="20"/>
              </w:rPr>
              <w:t xml:space="preserve">Politiques en vigueur</w:t>
            </w:r>
          </w:p>
        </w:tc>
        <w:tc>
          <w:tcPr>
            <w:tcW w:type="dxa" w:w="596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76"/>
            </w:pPr>
            <w:r>
              <w:rPr>
                <w:rFonts w:ascii="Calibri" w:cs="Calibri" w:eastAsia="Calibri" w:hAnsi="Calibri"/>
                <w:color w:val="5A6B66"/>
                <w:sz w:val="20"/>
                <w:szCs w:val="20"/>
              </w:rPr>
              <w:t xml:space="preserve"/>
            </w:r>
          </w:p>
        </w:tc>
      </w:tr>
    </w:tbl>
    <w:p>
      <w:pPr>
        <w:keepNext/>
        <w:pBdr>
          <w:bottom w:val="single" w:color="C08A3E" w:sz="8" w:space="4"/>
        </w:pBdr>
        <w:spacing w:after="140" w:before="280" w:line="276"/>
      </w:pPr>
      <w:r>
        <w:rPr>
          <w:rFonts w:ascii="Georgia" w:cs="Georgia" w:eastAsia="Georgia" w:hAnsi="Georgia"/>
          <w:b/>
          <w:bCs/>
          <w:color w:val="1B3B36"/>
          <w:sz w:val="28"/>
          <w:szCs w:val="28"/>
        </w:rPr>
        <w:t xml:space="preserve">1. Calendrier annuel type</w:t>
      </w:r>
    </w:p>
    <w:p>
      <w:pPr>
        <w:spacing w:after="140" w:before="0" w:line="276"/>
      </w:pPr>
      <w:r>
        <w:rPr>
          <w:rFonts w:ascii="Calibri" w:cs="Calibri" w:eastAsia="Calibri" w:hAnsi="Calibri"/>
          <w:color w:val="1A1D1C"/>
          <w:sz w:val="20"/>
          <w:szCs w:val="20"/>
        </w:rPr>
        <w:t xml:space="preserve">Ce calendrier situe, par rapport à votre fin d'exercice (mois 0), les grands dossiers que la plupart des conseils d'administration traitent au cours d'une année. Ajustez les délais selon vos règlements généraux, le nombre de séances que vous avez choisi et les comités que vous avez mis en place.</w:t>
      </w:r>
    </w:p>
    <w:p>
      <w:pPr>
        <w:spacing w:after="140" w:before="0" w:line="276"/>
      </w:pPr>
      <w:r>
        <w:rPr>
          <w:rFonts w:ascii="Calibri" w:cs="Calibri" w:eastAsia="Calibri" w:hAnsi="Calibri"/>
          <w:color w:val="1A1D1C"/>
          <w:sz w:val="20"/>
          <w:szCs w:val="20"/>
        </w:rPr>
        <w:t xml:space="preserve">Chaque dossier indique qui en est responsable : le conseil (CA), un comité, les membres ou la direction générale. Un dossier confié à un comité revient généralement ensuite au conseil pour décision ou prise d'acte.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5260"/>
        <w:gridCol w:w="1900"/>
      </w:tblGrid>
      <w:tr>
        <w:trPr>
          <w:tblHeader/>
        </w:trPr>
        <w:tc>
          <w:tcPr>
            <w:tcW w:type="dxa" w:w="220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Période</w:t>
            </w:r>
          </w:p>
        </w:tc>
        <w:tc>
          <w:tcPr>
            <w:tcW w:type="dxa" w:w="526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Dossier</w:t>
            </w:r>
          </w:p>
        </w:tc>
        <w:tc>
          <w:tcPr>
            <w:tcW w:type="dxa" w:w="190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Responsable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3 mois avant la fin de l'exercice</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Adoption du budget et du plan d'action du prochain exercice</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2 mois avant la fin de l'exercice</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Confirmation du mandat de l'auditeur ou de l'expert-comptable</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sur recommandation du comité de finance et d'audit</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Fin de l'exercice</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Repère : fin de l'exercice financier</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1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Fermeture des livres et préparation du dossier pour l'audit</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Direction générale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2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Examen des états financiers avec l'auditeur</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Comité de finance et d'audit</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2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Mise à jour du registre des risques</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ou comité de gestion des risques</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3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Approbation des états financiers audités</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3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Auto-évaluation du conseil</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3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Évaluation de la direction générale et révision de sa rémunération</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Comité des ressources humaines</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4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Révision des politiques de gouvernance (conflits d'intérêts, placement, dons, etc.)</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4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Préparation de l'assemblée générale annuelle (avis, ordre du jour, candidatures)</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4 à 6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Assemblée générale annuelle</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Membres</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4 à 6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Élection des administrateurs et nomination de l'auditeur</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Membres</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Après l'assemblée</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Accueil et orientation des nouveaux administrateurs</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et direction générale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Après l'assemblée</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Élection du comité exécutif et nomination aux comités</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6 à 8 mois après</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Planification de la relève du conseil et de la direction générale</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Comité de gouvernance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En continu</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Suivi budgétaire (comparaison budget-réel) à chaque séance régulière</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ou comité de finance</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En continu</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Séances régulières du conseil</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Conseil d'administration</w:t>
            </w:r>
          </w:p>
        </w:tc>
      </w:tr>
      <w:tr>
        <w:trPr>
          <w:cantSplit/>
        </w:trPr>
        <w:tc>
          <w:tcPr>
            <w:tcW w:type="dxa" w:w="22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8"/>
                <w:szCs w:val="18"/>
              </w:rPr>
              <w:t xml:space="preserve">En continu</w:t>
            </w:r>
          </w:p>
        </w:tc>
        <w:tc>
          <w:tcPr>
            <w:tcW w:type="dxa" w:w="52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Séances des comités, selon leur mandat</w:t>
            </w:r>
          </w:p>
        </w:tc>
        <w:tc>
          <w:tcPr>
            <w:tcW w:type="dxa" w:w="19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5A6B66"/>
                <w:sz w:val="18"/>
                <w:szCs w:val="18"/>
              </w:rPr>
              <w:t xml:space="preserve">Comités</w:t>
            </w:r>
          </w:p>
        </w:tc>
      </w:tr>
    </w:tbl>
    <w:p>
      <w:pPr>
        <w:keepNext/>
        <w:pBdr>
          <w:bottom w:val="single" w:color="C08A3E" w:sz="8" w:space="4"/>
        </w:pBdr>
        <w:spacing w:after="140" w:before="280" w:line="276"/>
      </w:pPr>
      <w:r>
        <w:rPr>
          <w:rFonts w:ascii="Georgia" w:cs="Georgia" w:eastAsia="Georgia" w:hAnsi="Georgia"/>
          <w:b/>
          <w:bCs/>
          <w:color w:val="1B3B36"/>
          <w:sz w:val="28"/>
          <w:szCs w:val="28"/>
        </w:rPr>
        <w:t xml:space="preserve">2. Votre calendrier des séances</w:t>
      </w:r>
    </w:p>
    <w:p>
      <w:pPr>
        <w:spacing w:after="140" w:before="0" w:line="276"/>
      </w:pPr>
      <w:r>
        <w:rPr>
          <w:rFonts w:ascii="Calibri" w:cs="Calibri" w:eastAsia="Calibri" w:hAnsi="Calibri"/>
          <w:color w:val="1A1D1C"/>
          <w:sz w:val="20"/>
          <w:szCs w:val="20"/>
        </w:rPr>
        <w:t xml:space="preserve">À remplir : indiquez pour chaque mois les séances prévues et le ou les dossiers prioritaires à traiter.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550"/>
        <w:gridCol w:w="2800"/>
        <w:gridCol w:w="3610"/>
      </w:tblGrid>
      <w:tr>
        <w:trPr>
          <w:tblHeader/>
        </w:trPr>
        <w:tc>
          <w:tcPr>
            <w:tcW w:type="dxa" w:w="140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Mois</w:t>
            </w:r>
          </w:p>
        </w:tc>
        <w:tc>
          <w:tcPr>
            <w:tcW w:type="dxa" w:w="155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Séance du CA</w:t>
            </w:r>
          </w:p>
        </w:tc>
        <w:tc>
          <w:tcPr>
            <w:tcW w:type="dxa" w:w="280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Séance(s) de comité</w:t>
            </w:r>
          </w:p>
        </w:tc>
        <w:tc>
          <w:tcPr>
            <w:tcW w:type="dxa" w:w="361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b/>
                <w:bCs/>
                <w:color w:val="FFFFFF"/>
                <w:sz w:val="18"/>
                <w:szCs w:val="18"/>
              </w:rPr>
              <w:t xml:space="preserve">Dossier prioritaire</w:t>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Janvier</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Février</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Mars</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Avril</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Mai</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Juin</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Juillet</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Août</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Septembre</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Octobre</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Novembre</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r>
        <w:trPr>
          <w:cantSplit/>
        </w:trPr>
        <w:tc>
          <w:tcPr>
            <w:tcW w:type="dxa" w:w="14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b/>
                <w:bCs/>
                <w:color w:val="1B3B36"/>
                <w:sz w:val="19"/>
                <w:szCs w:val="19"/>
              </w:rPr>
              <w:t xml:space="preserve">Décembre</w:t>
            </w:r>
          </w:p>
        </w:tc>
        <w:tc>
          <w:tcPr>
            <w:tcW w:type="dxa" w:w="155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0"/>
                <w:szCs w:val="20"/>
              </w:rPr>
              <w:t xml:space="preserve">☐</w:t>
            </w:r>
          </w:p>
        </w:tc>
        <w:tc>
          <w:tcPr>
            <w:tcW w:type="dxa" w:w="280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361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r>
    </w:tbl>
    <w:p>
      <w:pPr>
        <w:pageBreakBefore/>
        <w:spacing w:after="0" w:before="0" w:line="276"/>
      </w:pPr>
      <w:r>
        <w:rPr>
          <w:rFonts w:ascii="Calibri" w:cs="Calibri" w:eastAsia="Calibri" w:hAnsi="Calibri"/>
          <w:color w:val="1A1D1C"/>
          <w:sz w:val="20"/>
          <w:szCs w:val="20"/>
        </w:rPr>
        <w:t xml:space="preserve"/>
      </w:r>
    </w:p>
    <w:p>
      <w:pPr>
        <w:keepNext/>
        <w:pBdr>
          <w:bottom w:val="single" w:color="C08A3E" w:sz="8" w:space="4"/>
        </w:pBdr>
        <w:spacing w:after="140" w:before="280" w:line="276"/>
      </w:pPr>
      <w:r>
        <w:rPr>
          <w:rFonts w:ascii="Georgia" w:cs="Georgia" w:eastAsia="Georgia" w:hAnsi="Georgia"/>
          <w:b/>
          <w:bCs/>
          <w:color w:val="1B3B36"/>
          <w:sz w:val="28"/>
          <w:szCs w:val="28"/>
        </w:rPr>
        <w:t xml:space="preserve">Annexe A — Comités usuels et leur mandat</w:t>
      </w:r>
    </w:p>
    <w:p>
      <w:pPr>
        <w:spacing w:after="160" w:before="0" w:line="276"/>
      </w:pPr>
      <w:r>
        <w:rPr>
          <w:rFonts w:ascii="Calibri" w:cs="Calibri" w:eastAsia="Calibri" w:hAnsi="Calibri"/>
          <w:color w:val="1A1D1C"/>
          <w:sz w:val="20"/>
          <w:szCs w:val="20"/>
        </w:rPr>
        <w:t xml:space="preserve">Un conseil n'a pas à créer tous ces comités : formez-les selon la taille et les besoins de l'organisme.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de finance et d'audit</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Surveille la situation financière, recommande le choix de l'auditeur, examine les états financiers et le contrôle interne.</w:t>
            </w:r>
          </w:p>
        </w:tc>
      </w:tr>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de gouvernance et des candidatures</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Propose la composition du conseil, les politiques de gouvernance, l'accueil et l'évaluation des administrateurs.</w:t>
            </w:r>
          </w:p>
        </w:tc>
      </w:tr>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des ressources humaines</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Évalue et rémunère la direction générale, encadre les politiques relatives au personnel.</w:t>
            </w:r>
          </w:p>
        </w:tc>
      </w:tr>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de collecte de fonds ou de développement</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Oriente la stratégie philanthropique et les grandes campagnes.</w:t>
            </w:r>
          </w:p>
        </w:tc>
      </w:tr>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de gestion des risques</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Tient à jour le registre des risques et les mesures d'atténuation.</w:t>
            </w:r>
          </w:p>
        </w:tc>
      </w:tr>
      <w:tr>
        <w:trPr>
          <w:cantSplit/>
        </w:trPr>
        <w:tc>
          <w:tcPr>
            <w:tcW w:type="dxa" w:w="2800"/>
            <w:tcBorders>
              <w:top w:val="single" w:color="D9D3C4" w:sz="4"/>
              <w:left w:val="single" w:color="D9D3C4" w:sz="4"/>
              <w:bottom w:val="single" w:color="D9D3C4" w:sz="4"/>
              <w:right w:val="single" w:color="D9D3C4" w:sz="4"/>
            </w:tcBorders>
            <w:shd w:fill="F5F1E8" w:color="auto" w:val="clear"/>
            <w:tcMar>
              <w:top w:type="dxa" w:w="70"/>
              <w:left w:type="dxa" w:w="110"/>
              <w:bottom w:type="dxa" w:w="70"/>
              <w:right w:type="dxa" w:w="110"/>
            </w:tcMar>
            <w:vAlign w:val="center"/>
          </w:tcPr>
          <w:p>
            <w:pPr>
              <w:spacing w:after="0" w:before="0" w:line="250"/>
            </w:pPr>
            <w:r>
              <w:rPr>
                <w:rFonts w:ascii="Calibri" w:cs="Calibri" w:eastAsia="Calibri" w:hAnsi="Calibri"/>
                <w:b/>
                <w:bCs/>
                <w:color w:val="1B3B36"/>
                <w:sz w:val="19"/>
                <w:szCs w:val="19"/>
              </w:rPr>
              <w:t xml:space="preserve">Comité exécutif</w:t>
            </w:r>
          </w:p>
        </w:tc>
        <w:tc>
          <w:tcPr>
            <w:tcW w:type="dxa" w:w="65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color w:val="1A1D1C"/>
                <w:sz w:val="19"/>
                <w:szCs w:val="19"/>
              </w:rPr>
              <w:t xml:space="preserve">Agit entre les séances du conseil selon les pouvoirs qui lui sont délégués par résolution.</w:t>
            </w:r>
          </w:p>
        </w:tc>
      </w:tr>
    </w:tbl>
    <w:p>
      <w:pPr>
        <w:pageBreakBefore/>
        <w:spacing w:after="0" w:before="0" w:line="276"/>
      </w:pPr>
      <w:r>
        <w:rPr>
          <w:rFonts w:ascii="Calibri" w:cs="Calibri" w:eastAsia="Calibri" w:hAnsi="Calibri"/>
          <w:color w:val="1A1D1C"/>
          <w:sz w:val="20"/>
          <w:szCs w:val="20"/>
        </w:rPr>
        <w:t xml:space="preserve"/>
      </w:r>
    </w:p>
    <w:p>
      <w:pPr>
        <w:keepNext/>
        <w:pBdr>
          <w:bottom w:val="single" w:color="C08A3E" w:sz="8" w:space="4"/>
        </w:pBdr>
        <w:spacing w:after="140" w:before="280" w:line="276"/>
      </w:pPr>
      <w:r>
        <w:rPr>
          <w:rFonts w:ascii="Georgia" w:cs="Georgia" w:eastAsia="Georgia" w:hAnsi="Georgia"/>
          <w:b/>
          <w:bCs/>
          <w:color w:val="1B3B36"/>
          <w:sz w:val="28"/>
          <w:szCs w:val="28"/>
        </w:rPr>
        <w:t xml:space="preserve">Annexe B — Grille d'auto-évaluation du conseil</w:t>
      </w:r>
    </w:p>
    <w:p>
      <w:pPr>
        <w:spacing w:after="160" w:before="0" w:line="276"/>
      </w:pPr>
      <w:r>
        <w:rPr>
          <w:rFonts w:ascii="Calibri" w:cs="Calibri" w:eastAsia="Calibri" w:hAnsi="Calibri"/>
          <w:color w:val="1A1D1C"/>
          <w:sz w:val="20"/>
          <w:szCs w:val="20"/>
        </w:rPr>
        <w:t xml:space="preserve">À remplir individuellement, puis à discuter collectivement. Échelle : 1 (en désaccord) à 5 (tout à fait d'accord).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60"/>
        <w:gridCol w:w="680"/>
        <w:gridCol w:w="680"/>
        <w:gridCol w:w="680"/>
        <w:gridCol w:w="680"/>
        <w:gridCol w:w="680"/>
      </w:tblGrid>
      <w:tr>
        <w:trPr>
          <w:tblHeader/>
        </w:trPr>
        <w:tc>
          <w:tcPr>
            <w:tcW w:type="dxa" w:w="596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1</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2</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3</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4</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5</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1. </w:t>
            </w:r>
            <w:r>
              <w:rPr>
                <w:rFonts w:ascii="Calibri" w:cs="Calibri" w:eastAsia="Calibri" w:hAnsi="Calibri"/>
                <w:color w:val="1A1D1C"/>
                <w:sz w:val="19"/>
                <w:szCs w:val="19"/>
              </w:rPr>
              <w:t xml:space="preserve">Les rôles et responsabilités des administrateurs sont clairs.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2. </w:t>
            </w:r>
            <w:r>
              <w:rPr>
                <w:rFonts w:ascii="Calibri" w:cs="Calibri" w:eastAsia="Calibri" w:hAnsi="Calibri"/>
                <w:color w:val="1A1D1C"/>
                <w:sz w:val="19"/>
                <w:szCs w:val="19"/>
              </w:rPr>
              <w:t xml:space="preserve">Je reçois l'information nécessaire avant chaque séance, dans un délai raisonnable.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3. </w:t>
            </w:r>
            <w:r>
              <w:rPr>
                <w:rFonts w:ascii="Calibri" w:cs="Calibri" w:eastAsia="Calibri" w:hAnsi="Calibri"/>
                <w:color w:val="1A1D1C"/>
                <w:sz w:val="19"/>
                <w:szCs w:val="19"/>
              </w:rPr>
              <w:t xml:space="preserve">Le conseil consacre suffisamment de temps à la planification stratégique.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4. </w:t>
            </w:r>
            <w:r>
              <w:rPr>
                <w:rFonts w:ascii="Calibri" w:cs="Calibri" w:eastAsia="Calibri" w:hAnsi="Calibri"/>
                <w:color w:val="1A1D1C"/>
                <w:sz w:val="19"/>
                <w:szCs w:val="19"/>
              </w:rPr>
              <w:t xml:space="preserve">Le conseil exerce une supervision adéquate de la situation financière.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5. </w:t>
            </w:r>
            <w:r>
              <w:rPr>
                <w:rFonts w:ascii="Calibri" w:cs="Calibri" w:eastAsia="Calibri" w:hAnsi="Calibri"/>
                <w:color w:val="1A1D1C"/>
                <w:sz w:val="19"/>
                <w:szCs w:val="19"/>
              </w:rPr>
              <w:t xml:space="preserve">Le conseil gère adéquatement les principaux risques de l'organisme.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6. </w:t>
            </w:r>
            <w:r>
              <w:rPr>
                <w:rFonts w:ascii="Calibri" w:cs="Calibri" w:eastAsia="Calibri" w:hAnsi="Calibri"/>
                <w:color w:val="1A1D1C"/>
                <w:sz w:val="19"/>
                <w:szCs w:val="19"/>
              </w:rPr>
              <w:t xml:space="preserve">La composition du conseil reflète la diversité et les compétences requises.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7. </w:t>
            </w:r>
            <w:r>
              <w:rPr>
                <w:rFonts w:ascii="Calibri" w:cs="Calibri" w:eastAsia="Calibri" w:hAnsi="Calibri"/>
                <w:color w:val="1A1D1C"/>
                <w:sz w:val="19"/>
                <w:szCs w:val="19"/>
              </w:rPr>
              <w:t xml:space="preserve">Les nouveaux administrateurs reçoivent un accueil et une formation adéquats.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8. </w:t>
            </w:r>
            <w:r>
              <w:rPr>
                <w:rFonts w:ascii="Calibri" w:cs="Calibri" w:eastAsia="Calibri" w:hAnsi="Calibri"/>
                <w:color w:val="1A1D1C"/>
                <w:sz w:val="19"/>
                <w:szCs w:val="19"/>
              </w:rPr>
              <w:t xml:space="preserve">Le conseil a un plan de relève pour ses membres et pour la direction générale.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9. </w:t>
            </w:r>
            <w:r>
              <w:rPr>
                <w:rFonts w:ascii="Calibri" w:cs="Calibri" w:eastAsia="Calibri" w:hAnsi="Calibri"/>
                <w:color w:val="1A1D1C"/>
                <w:sz w:val="19"/>
                <w:szCs w:val="19"/>
              </w:rPr>
              <w:t xml:space="preserve">Les séances sont bien dirigées et permettent de réels échanges.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10. </w:t>
            </w:r>
            <w:r>
              <w:rPr>
                <w:rFonts w:ascii="Calibri" w:cs="Calibri" w:eastAsia="Calibri" w:hAnsi="Calibri"/>
                <w:color w:val="1A1D1C"/>
                <w:sz w:val="19"/>
                <w:szCs w:val="19"/>
              </w:rPr>
              <w:t xml:space="preserve">Dans l'ensemble, je suis satisfait du fonctionnement du conseil.</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bl>
    <w:p>
      <w:pPr>
        <w:pageBreakBefore/>
        <w:spacing w:after="0" w:before="0" w:line="276"/>
      </w:pPr>
      <w:r>
        <w:rPr>
          <w:rFonts w:ascii="Calibri" w:cs="Calibri" w:eastAsia="Calibri" w:hAnsi="Calibri"/>
          <w:color w:val="1A1D1C"/>
          <w:sz w:val="20"/>
          <w:szCs w:val="20"/>
        </w:rPr>
        <w:t xml:space="preserve"/>
      </w:r>
    </w:p>
    <w:p>
      <w:pPr>
        <w:keepNext/>
        <w:pBdr>
          <w:bottom w:val="single" w:color="C08A3E" w:sz="8" w:space="4"/>
        </w:pBdr>
        <w:spacing w:after="140" w:before="280" w:line="276"/>
      </w:pPr>
      <w:r>
        <w:rPr>
          <w:rFonts w:ascii="Georgia" w:cs="Georgia" w:eastAsia="Georgia" w:hAnsi="Georgia"/>
          <w:b/>
          <w:bCs/>
          <w:color w:val="1B3B36"/>
          <w:sz w:val="28"/>
          <w:szCs w:val="28"/>
        </w:rPr>
        <w:t xml:space="preserve">Annexe C — Grille d'évaluation de la direction générale</w:t>
      </w:r>
    </w:p>
    <w:p>
      <w:pPr>
        <w:spacing w:after="160" w:before="0" w:line="276"/>
      </w:pPr>
      <w:r>
        <w:rPr>
          <w:rFonts w:ascii="Calibri" w:cs="Calibri" w:eastAsia="Calibri" w:hAnsi="Calibri"/>
          <w:color w:val="1A1D1C"/>
          <w:sz w:val="20"/>
          <w:szCs w:val="20"/>
        </w:rPr>
        <w:t xml:space="preserve">À compléter par le comité des ressources humaines ou le conseil, avec la direction générale.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960"/>
        <w:gridCol w:w="680"/>
        <w:gridCol w:w="680"/>
        <w:gridCol w:w="680"/>
        <w:gridCol w:w="680"/>
        <w:gridCol w:w="680"/>
      </w:tblGrid>
      <w:tr>
        <w:trPr>
          <w:tblHeader/>
        </w:trPr>
        <w:tc>
          <w:tcPr>
            <w:tcW w:type="dxa" w:w="596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pPr>
            <w:r>
              <w:rPr>
                <w:rFonts w:ascii="Calibri" w:cs="Calibri" w:eastAsia="Calibri" w:hAnsi="Calibri"/>
                <w:color w:val="1A1D1C"/>
                <w:sz w:val="20"/>
                <w:szCs w:val="20"/>
              </w:rPr>
              <w:t xml:space="preserve"/>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1</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2</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3</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4</w:t>
            </w:r>
          </w:p>
        </w:tc>
        <w:tc>
          <w:tcPr>
            <w:tcW w:type="dxa" w:w="680"/>
            <w:tcBorders>
              <w:top w:val="single" w:color="D9D3C4" w:sz="4"/>
              <w:left w:val="single" w:color="D9D3C4" w:sz="4"/>
              <w:bottom w:val="single" w:color="D9D3C4" w:sz="4"/>
              <w:right w:val="single" w:color="D9D3C4" w:sz="4"/>
            </w:tcBorders>
            <w:shd w:fill="1B3B36" w:color="auto" w:val="clear"/>
            <w:tcMar>
              <w:top w:type="dxa" w:w="70"/>
              <w:left w:type="dxa" w:w="110"/>
              <w:bottom w:type="dxa" w:w="70"/>
              <w:right w:type="dxa" w:w="110"/>
            </w:tcMar>
            <w:vAlign w:val="center"/>
          </w:tcPr>
          <w:p>
            <w:pPr>
              <w:spacing w:after="0" w:before="0" w:line="276"/>
              <w:jc w:val="center"/>
            </w:pPr>
            <w:r>
              <w:rPr>
                <w:rFonts w:ascii="Calibri" w:cs="Calibri" w:eastAsia="Calibri" w:hAnsi="Calibri"/>
                <w:b/>
                <w:bCs/>
                <w:color w:val="FFFFFF"/>
                <w:sz w:val="18"/>
                <w:szCs w:val="18"/>
              </w:rPr>
              <w:t xml:space="preserve">5</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1. </w:t>
            </w:r>
            <w:r>
              <w:rPr>
                <w:rFonts w:ascii="Calibri" w:cs="Calibri" w:eastAsia="Calibri" w:hAnsi="Calibri"/>
                <w:color w:val="1A1D1C"/>
                <w:sz w:val="19"/>
                <w:szCs w:val="19"/>
              </w:rPr>
              <w:t xml:space="preserve">Leadership et vision</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2. </w:t>
            </w:r>
            <w:r>
              <w:rPr>
                <w:rFonts w:ascii="Calibri" w:cs="Calibri" w:eastAsia="Calibri" w:hAnsi="Calibri"/>
                <w:color w:val="1A1D1C"/>
                <w:sz w:val="19"/>
                <w:szCs w:val="19"/>
              </w:rPr>
              <w:t xml:space="preserve">Gestion financière et respect du budget</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3. </w:t>
            </w:r>
            <w:r>
              <w:rPr>
                <w:rFonts w:ascii="Calibri" w:cs="Calibri" w:eastAsia="Calibri" w:hAnsi="Calibri"/>
                <w:color w:val="1A1D1C"/>
                <w:sz w:val="19"/>
                <w:szCs w:val="19"/>
              </w:rPr>
              <w:t xml:space="preserve">Gestion des ressources humaines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4. </w:t>
            </w:r>
            <w:r>
              <w:rPr>
                <w:rFonts w:ascii="Calibri" w:cs="Calibri" w:eastAsia="Calibri" w:hAnsi="Calibri"/>
                <w:color w:val="1A1D1C"/>
                <w:sz w:val="19"/>
                <w:szCs w:val="19"/>
              </w:rPr>
              <w:t xml:space="preserve">Relation avec le conseil d'administration</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5. </w:t>
            </w:r>
            <w:r>
              <w:rPr>
                <w:rFonts w:ascii="Calibri" w:cs="Calibri" w:eastAsia="Calibri" w:hAnsi="Calibri"/>
                <w:color w:val="1A1D1C"/>
                <w:sz w:val="19"/>
                <w:szCs w:val="19"/>
              </w:rPr>
              <w:t xml:space="preserve">Réalisation du plan stratégique et des objectifs annuels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6. </w:t>
            </w:r>
            <w:r>
              <w:rPr>
                <w:rFonts w:ascii="Calibri" w:cs="Calibri" w:eastAsia="Calibri" w:hAnsi="Calibri"/>
                <w:color w:val="1A1D1C"/>
                <w:sz w:val="19"/>
                <w:szCs w:val="19"/>
              </w:rPr>
              <w:t xml:space="preserve">Communication et représentation externe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7. </w:t>
            </w:r>
            <w:r>
              <w:rPr>
                <w:rFonts w:ascii="Calibri" w:cs="Calibri" w:eastAsia="Calibri" w:hAnsi="Calibri"/>
                <w:color w:val="1A1D1C"/>
                <w:sz w:val="19"/>
                <w:szCs w:val="19"/>
              </w:rPr>
              <w:t xml:space="preserve">Gestion des risques et conformité</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r>
        <w:trPr>
          <w:cantSplit/>
        </w:trPr>
        <w:tc>
          <w:tcPr>
            <w:tcW w:type="dxa" w:w="596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50"/>
            </w:pPr>
            <w:r>
              <w:rPr>
                <w:rFonts w:ascii="Calibri" w:cs="Calibri" w:eastAsia="Calibri" w:hAnsi="Calibri"/>
                <w:b/>
                <w:bCs/>
                <w:color w:val="C08A3E"/>
                <w:sz w:val="19"/>
                <w:szCs w:val="19"/>
              </w:rPr>
              <w:t xml:space="preserve">8. </w:t>
            </w:r>
            <w:r>
              <w:rPr>
                <w:rFonts w:ascii="Calibri" w:cs="Calibri" w:eastAsia="Calibri" w:hAnsi="Calibri"/>
                <w:color w:val="1A1D1C"/>
                <w:sz w:val="19"/>
                <w:szCs w:val="19"/>
              </w:rPr>
              <w:t xml:space="preserve">Développement philanthropique et des revenus</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c>
          <w:tcPr>
            <w:tcW w:type="dxa" w:w="680"/>
            <w:tcBorders>
              <w:top w:val="single" w:color="D9D3C4" w:sz="4"/>
              <w:left w:val="single" w:color="D9D3C4" w:sz="4"/>
              <w:bottom w:val="single" w:color="D9D3C4" w:sz="4"/>
              <w:right w:val="single" w:color="D9D3C4" w:sz="4"/>
            </w:tcBorders>
            <w:tcMar>
              <w:top w:type="dxa" w:w="70"/>
              <w:left w:type="dxa" w:w="110"/>
              <w:bottom w:type="dxa" w:w="70"/>
              <w:right w:type="dxa" w:w="110"/>
            </w:tcMar>
            <w:vAlign w:val="center"/>
          </w:tcPr>
          <w:p>
            <w:pPr>
              <w:spacing w:after="0" w:before="0" w:line="276"/>
              <w:jc w:val="center"/>
            </w:pPr>
            <w:r>
              <w:rPr>
                <w:rFonts w:ascii="Calibri" w:cs="Calibri" w:eastAsia="Calibri" w:hAnsi="Calibri"/>
                <w:color w:val="1A1D1C"/>
                <w:sz w:val="22"/>
                <w:szCs w:val="22"/>
              </w:rPr>
              <w:t xml:space="preserve">☐</w:t>
            </w:r>
          </w:p>
        </w:tc>
      </w:tr>
    </w:tbl>
    <w:p>
      <w:pPr>
        <w:keepNext/>
        <w:spacing w:after="60" w:before="180" w:line="276"/>
      </w:pPr>
      <w:r>
        <w:rPr>
          <w:rFonts w:ascii="Calibri" w:cs="Calibri" w:eastAsia="Calibri" w:hAnsi="Calibri"/>
          <w:b/>
          <w:bCs/>
          <w:color w:val="1B3B36"/>
          <w:sz w:val="20"/>
          <w:szCs w:val="20"/>
        </w:rPr>
        <w:t xml:space="preserve">Principales réalisations de l'année</w:t>
      </w:r>
    </w:p>
    <w:p>
      <w:pPr>
        <w:pBdr>
          <w:bottom w:val="single" w:color="D9D3C4" w:sz="4" w:space="1"/>
        </w:pBdr>
        <w:spacing w:after="0" w:before="0" w:line="360"/>
      </w:pPr>
      <w:r>
        <w:rPr>
          <w:rFonts w:ascii="Calibri" w:cs="Calibri" w:eastAsia="Calibri" w:hAnsi="Calibri"/>
          <w:color w:val="1A1D1C"/>
          <w:sz w:val="20"/>
          <w:szCs w:val="20"/>
        </w:rPr>
        <w:t xml:space="preserve"/>
      </w:r>
    </w:p>
    <w:p>
      <w:pPr>
        <w:pBdr>
          <w:bottom w:val="single" w:color="D9D3C4" w:sz="4" w:space="1"/>
        </w:pBdr>
        <w:spacing w:after="0" w:before="0" w:line="360"/>
      </w:pPr>
      <w:r>
        <w:rPr>
          <w:rFonts w:ascii="Calibri" w:cs="Calibri" w:eastAsia="Calibri" w:hAnsi="Calibri"/>
          <w:color w:val="1A1D1C"/>
          <w:sz w:val="20"/>
          <w:szCs w:val="20"/>
        </w:rPr>
        <w:t xml:space="preserve"/>
      </w:r>
    </w:p>
    <w:p>
      <w:pPr>
        <w:pBdr>
          <w:bottom w:val="single" w:color="D9D3C4" w:sz="4" w:space="1"/>
        </w:pBdr>
        <w:spacing w:after="0" w:before="0" w:line="360"/>
      </w:pPr>
      <w:r>
        <w:rPr>
          <w:rFonts w:ascii="Calibri" w:cs="Calibri" w:eastAsia="Calibri" w:hAnsi="Calibri"/>
          <w:color w:val="1A1D1C"/>
          <w:sz w:val="20"/>
          <w:szCs w:val="20"/>
        </w:rPr>
        <w:t xml:space="preserve"/>
      </w:r>
    </w:p>
    <w:p>
      <w:pPr>
        <w:keepNext/>
        <w:spacing w:after="60" w:before="180" w:line="276"/>
      </w:pPr>
      <w:r>
        <w:rPr>
          <w:rFonts w:ascii="Calibri" w:cs="Calibri" w:eastAsia="Calibri" w:hAnsi="Calibri"/>
          <w:b/>
          <w:bCs/>
          <w:color w:val="1B3B36"/>
          <w:sz w:val="20"/>
          <w:szCs w:val="20"/>
        </w:rPr>
        <w:t xml:space="preserve">Objectifs pour la prochaine année</w:t>
      </w:r>
    </w:p>
    <w:p>
      <w:pPr>
        <w:pBdr>
          <w:bottom w:val="single" w:color="D9D3C4" w:sz="4" w:space="1"/>
        </w:pBdr>
        <w:spacing w:after="0" w:before="0" w:line="360"/>
      </w:pPr>
      <w:r>
        <w:rPr>
          <w:rFonts w:ascii="Calibri" w:cs="Calibri" w:eastAsia="Calibri" w:hAnsi="Calibri"/>
          <w:color w:val="1A1D1C"/>
          <w:sz w:val="20"/>
          <w:szCs w:val="20"/>
        </w:rPr>
        <w:t xml:space="preserve"/>
      </w:r>
    </w:p>
    <w:p>
      <w:pPr>
        <w:pBdr>
          <w:bottom w:val="single" w:color="D9D3C4" w:sz="4" w:space="1"/>
        </w:pBdr>
        <w:spacing w:after="0" w:before="0" w:line="360"/>
      </w:pPr>
      <w:r>
        <w:rPr>
          <w:rFonts w:ascii="Calibri" w:cs="Calibri" w:eastAsia="Calibri" w:hAnsi="Calibri"/>
          <w:color w:val="1A1D1C"/>
          <w:sz w:val="20"/>
          <w:szCs w:val="20"/>
        </w:rPr>
        <w:t xml:space="preserve"/>
      </w:r>
    </w:p>
    <w:p>
      <w:pPr>
        <w:pBdr>
          <w:bottom w:val="single" w:color="D9D3C4" w:sz="4" w:space="1"/>
        </w:pBdr>
        <w:spacing w:after="0" w:before="0" w:line="360"/>
      </w:pPr>
      <w:r>
        <w:rPr>
          <w:rFonts w:ascii="Calibri" w:cs="Calibri" w:eastAsia="Calibri" w:hAnsi="Calibri"/>
          <w:color w:val="1A1D1C"/>
          <w:sz w:val="20"/>
          <w:szCs w:val="20"/>
        </w:rPr>
        <w:t xml:space="preserve"/>
      </w:r>
    </w:p>
    <w:p>
      <w:pPr>
        <w:keepNext/>
        <w:spacing w:after="60" w:before="180" w:line="276"/>
      </w:pPr>
      <w:r>
        <w:rPr>
          <w:rFonts w:ascii="Calibri" w:cs="Calibri" w:eastAsia="Calibri" w:hAnsi="Calibri"/>
          <w:b/>
          <w:bCs/>
          <w:color w:val="1B3B36"/>
          <w:sz w:val="20"/>
          <w:szCs w:val="20"/>
        </w:rPr>
        <w:t xml:space="preserve">Commentaires</w:t>
      </w:r>
    </w:p>
    <w:p>
      <w:pPr>
        <w:pBdr>
          <w:bottom w:val="single" w:color="D9D3C4" w:sz="4" w:space="1"/>
        </w:pBdr>
        <w:spacing w:after="0" w:before="0" w:line="360"/>
      </w:pPr>
      <w:r>
        <w:rPr>
          <w:rFonts w:ascii="Calibri" w:cs="Calibri" w:eastAsia="Calibri" w:hAnsi="Calibri"/>
          <w:color w:val="1A1D1C"/>
          <w:sz w:val="20"/>
          <w:szCs w:val="20"/>
        </w:rPr>
        <w:t xml:space="preserve"/>
      </w:r>
    </w:p>
    <w:p>
      <w:pPr>
        <w:pBdr>
          <w:bottom w:val="single" w:color="D9D3C4" w:sz="4" w:space="1"/>
        </w:pBdr>
        <w:spacing w:after="0" w:before="0" w:line="360"/>
      </w:pPr>
      <w:r>
        <w:rPr>
          <w:rFonts w:ascii="Calibri" w:cs="Calibri" w:eastAsia="Calibri" w:hAnsi="Calibri"/>
          <w:color w:val="1A1D1C"/>
          <w:sz w:val="20"/>
          <w:szCs w:val="20"/>
        </w:rPr>
        <w:t xml:space="preserve"/>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 w:before="0" w:line="276"/>
    </w:pPr>
    <w:r>
      <w:rPr>
        <w:rFonts w:ascii="Georgia" w:cs="Georgia" w:eastAsia="Georgia" w:hAnsi="Georgia"/>
        <w:b/>
        <w:bCs/>
        <w:color w:val="1B3B36"/>
        <w:sz w:val="17"/>
        <w:szCs w:val="17"/>
      </w:rPr>
      <w:t xml:space="preserve">Daniel H</w:t>
    </w:r>
    <w:r>
      <w:rPr>
        <w:rFonts w:ascii="Georgia" w:cs="Georgia" w:eastAsia="Georgia" w:hAnsi="Georgia"/>
        <w:b/>
        <w:bCs/>
        <w:color w:val="C08A3E"/>
        <w:sz w:val="17"/>
        <w:szCs w:val="17"/>
      </w:rPr>
      <w:t xml:space="preserve">.</w:t>
    </w:r>
    <w:r>
      <w:rPr>
        <w:rFonts w:ascii="Georgia" w:cs="Georgia" w:eastAsia="Georgia" w:hAnsi="Georgia"/>
        <w:b/>
        <w:bCs/>
        <w:color w:val="1B3B36"/>
        <w:sz w:val="17"/>
        <w:szCs w:val="17"/>
      </w:rPr>
      <w:t xml:space="preserve"> Lanteigne</w:t>
    </w:r>
  </w:p>
  <w:p>
    <w:pPr>
      <w:spacing w:after="40" w:before="0" w:line="240"/>
    </w:pPr>
    <w:r>
      <w:rPr>
        <w:rFonts w:ascii="Calibri" w:cs="Calibri" w:eastAsia="Calibri" w:hAnsi="Calibri"/>
        <w:i/>
        <w:iCs/>
        <w:color w:val="5A6B66"/>
        <w:sz w:val="15"/>
        <w:szCs w:val="15"/>
      </w:rPr>
      <w:t xml:space="preserve">Modèle gratuit à adapter · danielhlanteigne.com/obligations · Ce document ne constitue pas un avis juridique.</w:t>
    </w:r>
  </w:p>
  <w:p>
    <w:pPr>
      <w:jc w:val="right"/>
    </w:pPr>
    <w:r>
      <w:rPr>
        <w:rFonts w:ascii="Calibri" w:cs="Calibri" w:eastAsia="Calibri" w:hAnsi="Calibri"/>
        <w:color w:val="5A6B66"/>
        <w:sz w:val="16"/>
        <w:szCs w:val="16"/>
      </w:rPr>
      <w:t xml:space="preserve">Page </w:t>
    </w:r>
    <w:r>
      <w:rPr>
        <w:rFonts w:ascii="Calibri" w:cs="Calibri" w:eastAsia="Calibri" w:hAnsi="Calibri"/>
        <w:color w:val="5A6B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Calendrier des travaux du conseil · Répartir les grands dossiers de gouvernance sur l'année</dc:title>
  <dc:creator>Daniel H. Lanteigne</dc:creator>
  <cp:lastModifiedBy>Un-named</cp:lastModifiedBy>
  <cp:revision>1</cp:revision>
  <dcterms:created xsi:type="dcterms:W3CDTF">2026-10-02T12:28:43.669Z</dcterms:created>
  <dcterms:modified xsi:type="dcterms:W3CDTF">2026-10-02T12:28:43.669Z</dcterms:modified>
</cp:coreProperties>
</file>

<file path=docProps/custom.xml><?xml version="1.0" encoding="utf-8"?>
<Properties xmlns="http://schemas.openxmlformats.org/officeDocument/2006/custom-properties" xmlns:vt="http://schemas.openxmlformats.org/officeDocument/2006/docPropsVTypes"/>
</file>